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 xml:space="preserve">受理单编号： </w:t>
      </w:r>
      <w:r>
        <w:rPr>
          <w:rFonts w:ascii="仿宋_GB2312" w:hAnsi="宋体" w:eastAsia="仿宋_GB2312" w:cs="宋体"/>
          <w:kern w:val="0"/>
          <w:szCs w:val="21"/>
        </w:rPr>
        <w:t>2021010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200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           申请技术审查时间：2021年0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Cs w:val="21"/>
        </w:rPr>
        <w:t>月2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3"/>
        <w:tblW w:w="911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大连万衡检测有限公司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建筑工程可靠性鉴定检测资质（延期）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472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徐云伟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478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8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经审查，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eastAsia="zh-CN"/>
              </w:rPr>
              <w:t>检测机构提交的资料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存在问题如下：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  <w:t xml:space="preserve">    一、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参数</w:t>
            </w:r>
          </w:p>
          <w:p>
            <w:pPr>
              <w:widowControl/>
              <w:numPr>
                <w:ilvl w:val="0"/>
                <w:numId w:val="0"/>
              </w:numPr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未提交主体结构、钢结构、地基基础、建材见证取样、可靠性鉴定资质副本影印件，无法核对申请参数与原资质符合性；</w:t>
            </w:r>
          </w:p>
          <w:p>
            <w:pPr>
              <w:widowControl/>
              <w:numPr>
                <w:ilvl w:val="0"/>
                <w:numId w:val="0"/>
              </w:numPr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二、人员</w:t>
            </w:r>
          </w:p>
          <w:p>
            <w:pPr>
              <w:widowControl/>
              <w:numPr>
                <w:ilvl w:val="0"/>
                <w:numId w:val="0"/>
              </w:numPr>
              <w:ind w:firstLine="420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1、未提交检测人员社会保险缴费证明，未提交1/2检测人员的劳动合同；</w:t>
            </w:r>
          </w:p>
          <w:p>
            <w:pPr>
              <w:widowControl/>
              <w:numPr>
                <w:ilvl w:val="0"/>
                <w:numId w:val="0"/>
              </w:numPr>
              <w:ind w:firstLine="420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2、未提交杨洪源、刘延禧、刘慧英、林茂盛高级工程师职称证书，高级工程师数量未达到要求的10人（缺4人）；</w:t>
            </w:r>
          </w:p>
          <w:p>
            <w:pPr>
              <w:widowControl/>
              <w:numPr>
                <w:ilvl w:val="0"/>
                <w:numId w:val="0"/>
              </w:numPr>
              <w:ind w:firstLine="420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未提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钢结构检测无损检测人员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技术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（超声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，至少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）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培训证书；</w:t>
            </w:r>
          </w:p>
          <w:p>
            <w:pPr>
              <w:pStyle w:val="2"/>
              <w:ind w:firstLine="42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三、设备</w:t>
            </w:r>
          </w:p>
          <w:p>
            <w:pPr>
              <w:widowControl/>
              <w:numPr>
                <w:ilvl w:val="0"/>
                <w:numId w:val="0"/>
              </w:numPr>
              <w:ind w:firstLine="420" w:firstLineChars="200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未提交主体结构、钢结构、地基基础、建材见证取样、可靠性鉴定资质副本影印件，无法核对设备与原资质的配置符合性。</w:t>
            </w:r>
          </w:p>
          <w:p>
            <w:pPr>
              <w:pStyle w:val="2"/>
              <w:ind w:firstLine="420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1039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1138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343"/>
    <w:rsid w:val="0049433D"/>
    <w:rsid w:val="00EF4343"/>
    <w:rsid w:val="03E467FE"/>
    <w:rsid w:val="1CC53BD0"/>
    <w:rsid w:val="673010E0"/>
    <w:rsid w:val="6AE26CDF"/>
    <w:rsid w:val="D677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</Words>
  <Characters>10</Characters>
  <Lines>1</Lines>
  <Paragraphs>1</Paragraphs>
  <TotalTime>115</TotalTime>
  <ScaleCrop>false</ScaleCrop>
  <LinksUpToDate>false</LinksUpToDate>
  <CharactersWithSpaces>10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2021-07-27T10:57:00Z</dcterms:created>
  <dc:creator>USER-</dc:creator>
  <cp:lastModifiedBy>thtf</cp:lastModifiedBy>
  <cp:lastPrinted>2021-08-04T10:13:35Z</cp:lastPrinted>
  <dcterms:modified xsi:type="dcterms:W3CDTF">2021-08-04T10:13:38Z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446EDBCFBFD543ADB48BC5FA6993CFC9</vt:lpwstr>
  </property>
</Properties>
</file>